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63D" w:rsidRDefault="005F05A9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广东财经大学国内公务接待管理办法</w:t>
      </w:r>
    </w:p>
    <w:p w:rsidR="00AC0271" w:rsidRPr="00AC0271" w:rsidRDefault="00AC0271" w:rsidP="00AC0271">
      <w:pPr>
        <w:spacing w:line="7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（征求意见稿）</w:t>
      </w:r>
      <w:bookmarkStart w:id="0" w:name="_GoBack"/>
      <w:bookmarkEnd w:id="0"/>
    </w:p>
    <w:p w:rsidR="0078263D" w:rsidRDefault="0078263D">
      <w:pPr>
        <w:spacing w:line="560" w:lineRule="exact"/>
        <w:rPr>
          <w:b/>
          <w:sz w:val="44"/>
          <w:szCs w:val="44"/>
        </w:rPr>
      </w:pPr>
    </w:p>
    <w:p w:rsidR="0078263D" w:rsidRDefault="005F05A9">
      <w:pPr>
        <w:spacing w:line="56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 为规范学校公务接待管理，坚持过紧日子，厉行勤俭节约，反对铺张浪费，加强党风廉政建设，根据《党政机关厉行节约反对浪费条例》、《党政机关国内公务接待管理规定》、《广东省党政机关国内公务接待管理办法》、《省直党政机关和事业单位差旅费管理办法》、《省直党政机关和事业单位会议费管理办法》等相关规定，结合学校实际，制定本办法。【制定目的和依据】</w:t>
      </w:r>
    </w:p>
    <w:p w:rsidR="0078263D" w:rsidRDefault="005F05A9">
      <w:pPr>
        <w:spacing w:line="560" w:lineRule="exact"/>
        <w:ind w:firstLineChars="196" w:firstLine="630"/>
        <w:rPr>
          <w:rFonts w:ascii="Times New Roman" w:eastAsia="仿宋_GB2312" w:hAnsi="Times New Roman"/>
          <w:b/>
          <w:bCs/>
          <w:kern w:val="2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>第二条</w:t>
      </w: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2"/>
          <w:sz w:val="32"/>
          <w:szCs w:val="32"/>
        </w:rPr>
        <w:t>本办法适用于学校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及校内</w:t>
      </w:r>
      <w:r>
        <w:rPr>
          <w:rFonts w:ascii="Times New Roman" w:eastAsia="仿宋_GB2312" w:hAnsi="Times New Roman"/>
          <w:kern w:val="2"/>
          <w:sz w:val="32"/>
          <w:szCs w:val="32"/>
        </w:rPr>
        <w:t>各单位的国内公务接待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。【适用范围】</w:t>
      </w:r>
    </w:p>
    <w:p w:rsidR="0078263D" w:rsidRDefault="005F05A9">
      <w:pPr>
        <w:spacing w:line="560" w:lineRule="exact"/>
        <w:ind w:firstLineChars="196" w:firstLine="627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本办法所称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国内</w:t>
      </w:r>
      <w:r>
        <w:rPr>
          <w:rFonts w:ascii="Times New Roman" w:eastAsia="仿宋_GB2312" w:hAnsi="Times New Roman"/>
          <w:kern w:val="2"/>
          <w:sz w:val="32"/>
          <w:szCs w:val="32"/>
        </w:rPr>
        <w:t>公务，是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指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出席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</w:rPr>
        <w:t>会议、</w:t>
      </w:r>
      <w:r>
        <w:rPr>
          <w:rFonts w:ascii="Times New Roman" w:eastAsia="仿宋_GB2312" w:hAnsi="Times New Roman"/>
          <w:kern w:val="2"/>
          <w:sz w:val="32"/>
          <w:szCs w:val="32"/>
        </w:rPr>
        <w:t>考察调研、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执行任务、学习交流、</w:t>
      </w:r>
      <w:r>
        <w:rPr>
          <w:rFonts w:ascii="Times New Roman" w:eastAsia="仿宋_GB2312" w:hAnsi="Times New Roman"/>
          <w:kern w:val="2"/>
          <w:sz w:val="32"/>
          <w:szCs w:val="32"/>
        </w:rPr>
        <w:t>检查指导、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请示汇报工作</w:t>
      </w:r>
      <w:r>
        <w:rPr>
          <w:rFonts w:ascii="Times New Roman" w:eastAsia="仿宋_GB2312" w:hAnsi="Times New Roman"/>
          <w:kern w:val="2"/>
          <w:sz w:val="32"/>
          <w:szCs w:val="32"/>
        </w:rPr>
        <w:t>等公务活动。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【定义】</w:t>
      </w:r>
    </w:p>
    <w:p w:rsidR="0078263D" w:rsidRDefault="005F05A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学校国内公务接待坚持</w:t>
      </w:r>
      <w:r>
        <w:rPr>
          <w:rFonts w:ascii="Times New Roman" w:eastAsia="仿宋_GB2312" w:hAnsi="Times New Roman"/>
          <w:kern w:val="2"/>
          <w:sz w:val="32"/>
          <w:szCs w:val="32"/>
        </w:rPr>
        <w:t>有利公务、务实节俭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、严格标准、简化礼仪、高效透明、“谁接待、谁负责”的原则</w:t>
      </w:r>
      <w:r>
        <w:rPr>
          <w:rFonts w:ascii="仿宋_GB2312" w:eastAsia="仿宋_GB2312" w:hint="eastAsia"/>
          <w:sz w:val="32"/>
          <w:szCs w:val="32"/>
        </w:rPr>
        <w:t>。【基本原则】</w:t>
      </w:r>
    </w:p>
    <w:p w:rsidR="0078263D" w:rsidRDefault="005F05A9">
      <w:pPr>
        <w:spacing w:line="560" w:lineRule="exact"/>
        <w:ind w:firstLineChars="196" w:firstLine="63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2"/>
          <w:sz w:val="32"/>
          <w:szCs w:val="32"/>
        </w:rPr>
        <w:t>党委办公室、校长办公室是学校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国内</w:t>
      </w:r>
      <w:r>
        <w:rPr>
          <w:rFonts w:ascii="Times New Roman" w:eastAsia="仿宋_GB2312" w:hAnsi="Times New Roman"/>
          <w:kern w:val="2"/>
          <w:sz w:val="32"/>
          <w:szCs w:val="32"/>
        </w:rPr>
        <w:t>公务接待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工作的</w:t>
      </w:r>
      <w:r>
        <w:rPr>
          <w:rFonts w:ascii="Times New Roman" w:eastAsia="仿宋_GB2312" w:hAnsi="Times New Roman"/>
          <w:kern w:val="2"/>
          <w:sz w:val="32"/>
          <w:szCs w:val="32"/>
        </w:rPr>
        <w:t>管理部门，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统筹学校国内公务接待，指导校内各单位开展相关工作。【管理部门】</w:t>
      </w:r>
    </w:p>
    <w:p w:rsidR="0078263D" w:rsidRDefault="005F05A9" w:rsidP="00081E0D">
      <w:pPr>
        <w:spacing w:line="560" w:lineRule="exact"/>
        <w:ind w:firstLineChars="196" w:firstLine="63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>第五条</w:t>
      </w: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学校国内公务接待按照统一规范、分级负责、对口接待的要求，根据接待对象的身份和公务活动的内容等由相应校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lastRenderedPageBreak/>
        <w:t>内单位组织实施。</w:t>
      </w:r>
    </w:p>
    <w:p w:rsidR="0078263D" w:rsidRDefault="005F05A9" w:rsidP="00081E0D">
      <w:pPr>
        <w:spacing w:line="560" w:lineRule="exact"/>
        <w:ind w:firstLineChars="196" w:firstLine="627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现职和曾任正厅级以上领导同志来校公务接待工作由党委办公室、校长办公室统筹负责；现职副厅级以上领导来校公务接待工作视情况由党委办公室、校长办公室统筹负责或对口单位牵头负责；其他接待对象由对口单位负责。</w:t>
      </w:r>
    </w:p>
    <w:p w:rsidR="0078263D" w:rsidRDefault="005F05A9">
      <w:pPr>
        <w:spacing w:line="560" w:lineRule="exact"/>
        <w:ind w:firstLineChars="196" w:firstLine="627"/>
        <w:rPr>
          <w:rFonts w:ascii="仿宋_GB2312" w:eastAsia="仿宋_GB2312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接待中</w:t>
      </w:r>
      <w:proofErr w:type="gramStart"/>
      <w:r>
        <w:rPr>
          <w:rFonts w:ascii="Times New Roman" w:eastAsia="仿宋_GB2312" w:hAnsi="Times New Roman" w:hint="eastAsia"/>
          <w:kern w:val="2"/>
          <w:sz w:val="32"/>
          <w:szCs w:val="32"/>
        </w:rPr>
        <w:t>需邀请校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</w:rPr>
        <w:t>领导出席的，由党委办公室、校长办公室根据校领导分工和实际情况统筹。【总体要求】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学校及校内各单位严格执行国内公务接待公函制度，无公函的公务活动和来访人员一律不予接待；情况特殊的，可以先电话告知，但应当在接待结束后5个工作日内补发公函。</w:t>
      </w:r>
      <w:proofErr w:type="gramStart"/>
      <w:r>
        <w:rPr>
          <w:rFonts w:ascii="仿宋_GB2312" w:eastAsia="仿宋_GB2312" w:hint="eastAsia"/>
          <w:sz w:val="32"/>
          <w:szCs w:val="32"/>
        </w:rPr>
        <w:t>因邀请</w:t>
      </w:r>
      <w:proofErr w:type="gramEnd"/>
      <w:r>
        <w:rPr>
          <w:rFonts w:ascii="仿宋_GB2312" w:eastAsia="仿宋_GB2312" w:hint="eastAsia"/>
          <w:sz w:val="32"/>
          <w:szCs w:val="32"/>
        </w:rPr>
        <w:t>接待对象前来学校开展必要的公务活动，发出的包括活动内容、行程和人员等要素的邀请函，可以视作公函。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学校因公务外出需接待的，应向接待单位发出公函，告知内容、行程和人员，不得虚列。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【公函制度】</w:t>
      </w:r>
    </w:p>
    <w:p w:rsidR="0078263D" w:rsidRDefault="005F05A9" w:rsidP="00081E0D">
      <w:pPr>
        <w:pStyle w:val="aa"/>
        <w:widowControl w:val="0"/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第七条 </w:t>
      </w:r>
      <w:r>
        <w:rPr>
          <w:rFonts w:ascii="仿宋_GB2312" w:eastAsia="仿宋_GB2312" w:hint="eastAsia"/>
          <w:sz w:val="32"/>
          <w:szCs w:val="32"/>
        </w:rPr>
        <w:t xml:space="preserve"> 学校及校内各单位根据规定的接待范围开展接待工作，严格执行“先审批、后接待”的程序。负责接待的单位根据派出单位公函拟定接待方案，对能够合并的公务接待统筹安排。</w:t>
      </w:r>
      <w:r w:rsidRPr="000111E7">
        <w:rPr>
          <w:rFonts w:ascii="仿宋_GB2312" w:eastAsia="仿宋_GB2312" w:hint="eastAsia"/>
          <w:sz w:val="32"/>
          <w:szCs w:val="32"/>
        </w:rPr>
        <w:t>接待中</w:t>
      </w:r>
      <w:r>
        <w:rPr>
          <w:rFonts w:ascii="仿宋_GB2312" w:eastAsia="仿宋_GB2312" w:hint="eastAsia"/>
          <w:sz w:val="32"/>
          <w:szCs w:val="32"/>
        </w:rPr>
        <w:t>不得将休假、探亲、旅游等活动纳入接待范围。【严格审批】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 学校及校内各单位严格执行国内公务接待清单制度。公务活动结束后，负责接待的单位如实填写接待清单。接待清单包括接待对象的单位、姓名、职务和公务活动项目、时</w:t>
      </w:r>
      <w:r>
        <w:rPr>
          <w:rFonts w:ascii="仿宋_GB2312" w:eastAsia="仿宋_GB2312" w:hint="eastAsia"/>
          <w:sz w:val="32"/>
          <w:szCs w:val="32"/>
        </w:rPr>
        <w:lastRenderedPageBreak/>
        <w:t>间、场所、费用等内容。接待清单应当一事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单，不得将多次国内公务接待合并填入一张接待清单。【接待清单制度】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>第九条</w:t>
      </w: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学校国内公务接待，不得在机场、车站、码头等组织迎送活动，不得跨地区迎送，不得张贴悬挂标语横幅，不得铺设迎宾地毯。严格控制陪同人数，不得层层多人陪同。【迎送要求】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学校国内公务接待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安排的活动场所、活动项目和活动方式，应当有利于公务活动开展。安排外出考察调研的，应当深入实际、深入基层、深入群众，不得走过场、搞形式主义。【有利公务】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>第十条</w:t>
      </w:r>
      <w:r>
        <w:rPr>
          <w:rFonts w:ascii="仿宋_GB2312" w:eastAsia="仿宋_GB2312" w:hint="eastAsia"/>
          <w:sz w:val="32"/>
          <w:szCs w:val="32"/>
        </w:rPr>
        <w:t xml:space="preserve">  学校国内公务接待，因工作需要需安排接待对象用餐的，可以安排工作餐1次。工作餐根据用餐人员级别、人数，结合实际情况，合理安排自助餐或围餐。自助餐按每人每餐不超过50元，</w:t>
      </w:r>
      <w:proofErr w:type="gramStart"/>
      <w:r>
        <w:rPr>
          <w:rFonts w:ascii="仿宋_GB2312" w:eastAsia="仿宋_GB2312" w:hint="eastAsia"/>
          <w:sz w:val="32"/>
          <w:szCs w:val="32"/>
        </w:rPr>
        <w:t>围餐按每人</w:t>
      </w:r>
      <w:proofErr w:type="gramEnd"/>
      <w:r>
        <w:rPr>
          <w:rFonts w:ascii="仿宋_GB2312" w:eastAsia="仿宋_GB2312" w:hint="eastAsia"/>
          <w:sz w:val="32"/>
          <w:szCs w:val="32"/>
        </w:rPr>
        <w:t>每餐不超过150元标准接待。接待对象在10人以内的，陪餐人数不得超过3人；超过10人的，不得超过接待对象人数的1/3。工作餐供应家常菜，不得提供高档菜肴和用野生保护动物制作的菜肴，不得提供香烟，不上酒，不得使用私人会所、高消费餐饮</w:t>
      </w:r>
      <w:r>
        <w:rPr>
          <w:rFonts w:ascii="仿宋_GB2312" w:eastAsia="仿宋_GB2312" w:hAnsi="仿宋_GB2312" w:cs="仿宋_GB2312" w:hint="eastAsia"/>
          <w:sz w:val="32"/>
          <w:szCs w:val="32"/>
        </w:rPr>
        <w:t>场所。【用餐】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学校人员因公务外出，除接待单位按规定安排的接待用餐外，其他由接待单位安排的用餐，应当按照有关规定及时交纳伙食费用。</w:t>
      </w:r>
    </w:p>
    <w:p w:rsidR="0078263D" w:rsidRDefault="005F05A9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>第十一条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接待住宿严格执行差旅、会议管理的有关规定，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lastRenderedPageBreak/>
        <w:t>在协议酒店、定点场所或者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内部接待场所安排，执行</w:t>
      </w:r>
      <w:r>
        <w:rPr>
          <w:rFonts w:ascii="仿宋_GB2312" w:eastAsia="仿宋_GB2312" w:hint="eastAsia"/>
          <w:sz w:val="32"/>
          <w:szCs w:val="32"/>
        </w:rPr>
        <w:t>协议价格。出差人员住宿费回学校凭据报销。与会人员住宿费按照会议费管理有关规定执行。住宿用房以标准间为主，接待省部级干部可以安排普通套间。接待单位不得超标准安排接待住房，不得额外配发洗漱用品</w:t>
      </w:r>
      <w:r>
        <w:rPr>
          <w:rFonts w:ascii="仿宋_GB2312" w:eastAsia="仿宋_GB2312"/>
          <w:sz w:val="32"/>
          <w:szCs w:val="32"/>
        </w:rPr>
        <w:t>。</w:t>
      </w:r>
    </w:p>
    <w:p w:rsidR="0078263D" w:rsidRDefault="005F05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住宿费用原则上由接待对象自理，学校</w:t>
      </w:r>
      <w:r>
        <w:rPr>
          <w:rFonts w:ascii="Times New Roman" w:eastAsia="仿宋_GB2312" w:hAnsi="Times New Roman"/>
          <w:kern w:val="2"/>
          <w:sz w:val="32"/>
          <w:szCs w:val="32"/>
        </w:rPr>
        <w:t>发函邀请并注明解决食宿的除外。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【住宿】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第十二条</w:t>
      </w:r>
      <w:r>
        <w:rPr>
          <w:rFonts w:ascii="仿宋_GB2312" w:eastAsia="仿宋_GB2312" w:hint="eastAsia"/>
          <w:sz w:val="32"/>
          <w:szCs w:val="32"/>
        </w:rPr>
        <w:t xml:space="preserve">  学校国内公务接待的出行活动应当安排集中乘车，合理使用车型，严格控制车辆数量。上级部门、校外相关单位主要领导和学校邀请的重要宾客来校参加公务活动的，由党委办公室、校长办公室协调后勤处安排车辆；校内其他单位负责接待的宾客，由各单位自行安排车辆。【用车】</w:t>
      </w:r>
    </w:p>
    <w:p w:rsidR="0078263D" w:rsidRDefault="005F05A9">
      <w:pPr>
        <w:spacing w:line="560" w:lineRule="exact"/>
        <w:ind w:firstLineChars="196" w:firstLine="630"/>
        <w:rPr>
          <w:rFonts w:ascii="仿宋_GB2312" w:eastAsia="仿宋_GB2312" w:hAnsi="Calibri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第十三条</w:t>
      </w:r>
      <w:r>
        <w:rPr>
          <w:rFonts w:ascii="仿宋_GB2312" w:eastAsia="仿宋_GB2312" w:hAnsi="楷体" w:cs="楷体" w:hint="eastAsia"/>
          <w:color w:val="5B5847"/>
          <w:kern w:val="0"/>
          <w:sz w:val="24"/>
          <w:szCs w:val="24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各单位</w:t>
      </w:r>
      <w:r>
        <w:rPr>
          <w:rFonts w:ascii="仿宋_GB2312" w:eastAsia="仿宋_GB2312" w:hAnsi="Calibri" w:hint="eastAsia"/>
          <w:color w:val="000000"/>
          <w:kern w:val="2"/>
          <w:sz w:val="32"/>
          <w:szCs w:val="32"/>
        </w:rPr>
        <w:t>加强公务外出计划管理，科学安排和严格控制外出的时间、内容、路线、频率、人员数量，</w:t>
      </w:r>
      <w:r>
        <w:rPr>
          <w:rFonts w:ascii="仿宋_GB2312" w:eastAsia="仿宋_GB2312" w:hint="eastAsia"/>
          <w:sz w:val="32"/>
          <w:szCs w:val="32"/>
        </w:rPr>
        <w:t>并严格执行国内差旅校内审批制度。</w:t>
      </w:r>
    </w:p>
    <w:p w:rsidR="0078263D" w:rsidRDefault="005F05A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FF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校领导带队代表学校外出学习、交流、考察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，由</w:t>
      </w:r>
      <w:r>
        <w:rPr>
          <w:rFonts w:ascii="仿宋_GB2312" w:eastAsia="仿宋_GB2312" w:hint="eastAsia"/>
          <w:sz w:val="32"/>
          <w:szCs w:val="32"/>
        </w:rPr>
        <w:t>牵头单位负责起草公函并至少提前3个工作日，报请学校党委办公室、校长办公室发函、</w:t>
      </w:r>
      <w:r>
        <w:rPr>
          <w:rFonts w:ascii="仿宋_GB2312" w:eastAsia="仿宋_GB2312"/>
          <w:sz w:val="32"/>
          <w:szCs w:val="32"/>
        </w:rPr>
        <w:t>联系接待单位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协调安排落实</w:t>
      </w:r>
      <w:r>
        <w:rPr>
          <w:rFonts w:ascii="仿宋_GB2312" w:eastAsia="仿宋_GB2312" w:hint="eastAsia"/>
          <w:sz w:val="32"/>
          <w:szCs w:val="32"/>
        </w:rPr>
        <w:t>行程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【公务外出】</w:t>
      </w:r>
    </w:p>
    <w:p w:rsidR="0078263D" w:rsidRDefault="005F05A9">
      <w:pPr>
        <w:spacing w:line="560" w:lineRule="exact"/>
        <w:ind w:firstLine="643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>第十四条</w:t>
      </w: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2"/>
          <w:sz w:val="32"/>
          <w:szCs w:val="32"/>
        </w:rPr>
        <w:t>学校加强对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国内</w:t>
      </w:r>
      <w:r>
        <w:rPr>
          <w:rFonts w:ascii="Times New Roman" w:eastAsia="仿宋_GB2312" w:hAnsi="Times New Roman"/>
          <w:kern w:val="2"/>
          <w:sz w:val="32"/>
          <w:szCs w:val="32"/>
        </w:rPr>
        <w:t>公务接待经费的预算管理，合理限定接待费预算总额。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国内</w:t>
      </w:r>
      <w:r>
        <w:rPr>
          <w:rFonts w:ascii="Times New Roman" w:eastAsia="仿宋_GB2312" w:hAnsi="Times New Roman"/>
          <w:kern w:val="2"/>
          <w:sz w:val="32"/>
          <w:szCs w:val="32"/>
        </w:rPr>
        <w:t>公务接待费用应当全部纳入预算管理，单独列示。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【预算管理】</w:t>
      </w:r>
    </w:p>
    <w:p w:rsidR="0078263D" w:rsidRDefault="005F05A9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>第十五条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接待费报销</w:t>
      </w:r>
      <w:r>
        <w:rPr>
          <w:rFonts w:ascii="Times New Roman" w:eastAsia="仿宋_GB2312" w:hAnsi="Times New Roman"/>
          <w:kern w:val="2"/>
          <w:sz w:val="32"/>
          <w:szCs w:val="32"/>
        </w:rPr>
        <w:t>凭证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包括财务票据、单位</w:t>
      </w:r>
      <w:r>
        <w:rPr>
          <w:rFonts w:ascii="Times New Roman" w:eastAsia="仿宋_GB2312" w:hAnsi="Times New Roman"/>
          <w:kern w:val="2"/>
          <w:sz w:val="32"/>
          <w:szCs w:val="32"/>
        </w:rPr>
        <w:t>公函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、接待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lastRenderedPageBreak/>
        <w:t>审批单和接待清单。报销凭证</w:t>
      </w:r>
      <w:r>
        <w:rPr>
          <w:rFonts w:ascii="Times New Roman" w:eastAsia="仿宋_GB2312" w:hAnsi="Times New Roman"/>
          <w:kern w:val="2"/>
          <w:sz w:val="32"/>
          <w:szCs w:val="32"/>
        </w:rPr>
        <w:t>不全或不符合有关规定的，财务部门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不予</w:t>
      </w:r>
      <w:r>
        <w:rPr>
          <w:rFonts w:ascii="Times New Roman" w:eastAsia="仿宋_GB2312" w:hAnsi="Times New Roman"/>
          <w:kern w:val="2"/>
          <w:sz w:val="32"/>
          <w:szCs w:val="32"/>
        </w:rPr>
        <w:t>报销。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接待费资金支付严格按照公务卡管理有关规定执行，不得以现金方式支付。【报销】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left="-1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>第十六条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国内公务接待工作中严禁下列行为：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color w:val="0C0C0C"/>
          <w:kern w:val="2"/>
          <w:sz w:val="32"/>
          <w:szCs w:val="32"/>
        </w:rPr>
        <w:t>以各种名义和方式组织变相旅游或者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违反规定到风景名胜区举办会议和活动；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（二）组织旅游或者与公务活动无关的参观或者到营利性娱乐、健身场所活动，安排专场文艺演出；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（三）异地部门间没有特别需要的一般性学习交流、考察调研或重复性考察；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（四）使用虚假公函进行公款吃喝或者套取接待费用；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（五）擅自扩大国内公务接待范围、增加接待项目；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（六）提供和接受超标准接待；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（七）</w:t>
      </w:r>
      <w:r>
        <w:rPr>
          <w:rFonts w:ascii="Times New Roman" w:eastAsia="仿宋_GB2312" w:hAnsi="Times New Roman"/>
          <w:kern w:val="2"/>
          <w:sz w:val="32"/>
          <w:szCs w:val="32"/>
        </w:rPr>
        <w:t>在接待费中列支应当由接待对象承担的差旅、会议、培训等费用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；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（八）</w:t>
      </w:r>
      <w:r>
        <w:rPr>
          <w:rFonts w:ascii="Times New Roman" w:eastAsia="仿宋_GB2312" w:hAnsi="Times New Roman"/>
          <w:kern w:val="2"/>
          <w:sz w:val="32"/>
          <w:szCs w:val="32"/>
        </w:rPr>
        <w:t>以举办会议、培训为名列支、转移、隐匿接待费开支；</w:t>
      </w:r>
    </w:p>
    <w:p w:rsidR="0078263D" w:rsidRPr="000111E7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（九）</w:t>
      </w:r>
      <w:r>
        <w:rPr>
          <w:rFonts w:ascii="Times New Roman" w:eastAsia="仿宋_GB2312" w:hAnsi="Times New Roman"/>
          <w:kern w:val="2"/>
          <w:sz w:val="32"/>
          <w:szCs w:val="32"/>
        </w:rPr>
        <w:t>向下级单位及其他单位、</w:t>
      </w:r>
      <w:r w:rsidRPr="000111E7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企业、个人转嫁接待费用；</w:t>
      </w:r>
    </w:p>
    <w:p w:rsidR="0078263D" w:rsidRPr="000111E7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0111E7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（十）在非税收入中坐支接待费用或者</w:t>
      </w:r>
      <w:proofErr w:type="gramStart"/>
      <w:r w:rsidRPr="000111E7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借国内</w:t>
      </w:r>
      <w:proofErr w:type="gramEnd"/>
      <w:r w:rsidRPr="000111E7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公务接待名义列支其他支出。</w:t>
      </w:r>
    </w:p>
    <w:p w:rsidR="0078263D" w:rsidRPr="000111E7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0111E7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lastRenderedPageBreak/>
        <w:t>（十一）以任何名义赠送礼金、有价证券、纪念品和土特产品等；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b/>
          <w:bCs/>
          <w:color w:val="0C0C0C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（十二）其他违反国内公务接待管理有关规定的行为。【严禁行为】</w:t>
      </w:r>
    </w:p>
    <w:p w:rsidR="0078263D" w:rsidRDefault="005F05A9">
      <w:pPr>
        <w:pStyle w:val="aa"/>
        <w:widowControl w:val="0"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第十七条</w:t>
      </w:r>
      <w:r>
        <w:rPr>
          <w:rFonts w:ascii="仿宋_GB2312" w:eastAsia="仿宋_GB2312" w:hAnsi="楷体" w:cs="楷体" w:hint="eastAsia"/>
          <w:color w:val="5B5847"/>
        </w:rPr>
        <w:t xml:space="preserve">  </w:t>
      </w:r>
      <w:r>
        <w:rPr>
          <w:rFonts w:ascii="仿宋_GB2312" w:eastAsia="仿宋_GB2312" w:cs="Times New Roman" w:hint="eastAsia"/>
          <w:kern w:val="22"/>
          <w:sz w:val="32"/>
          <w:szCs w:val="32"/>
        </w:rPr>
        <w:t>国内</w:t>
      </w:r>
      <w:r>
        <w:rPr>
          <w:rFonts w:ascii="仿宋_GB2312" w:eastAsia="仿宋_GB2312" w:hint="eastAsia"/>
          <w:sz w:val="32"/>
          <w:szCs w:val="32"/>
        </w:rPr>
        <w:t>公务接待工作中如有保密要求，接待单位和人员严格遵守有关保密规定，加强接待文件和会议资料管理，切实做好接待的保密工作。【保密】</w:t>
      </w:r>
    </w:p>
    <w:p w:rsidR="0078263D" w:rsidRDefault="005F05A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b/>
          <w:bCs/>
          <w:kern w:val="2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>第</w:t>
      </w: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>十八</w:t>
      </w: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>条</w:t>
      </w: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纪检监察室</w:t>
      </w:r>
      <w:r>
        <w:rPr>
          <w:rFonts w:ascii="Times New Roman" w:eastAsia="仿宋_GB2312" w:hAnsi="Times New Roman"/>
          <w:kern w:val="2"/>
          <w:sz w:val="32"/>
          <w:szCs w:val="32"/>
        </w:rPr>
        <w:t>对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学校</w:t>
      </w:r>
      <w:r>
        <w:rPr>
          <w:rFonts w:ascii="Times New Roman" w:eastAsia="仿宋_GB2312" w:hAnsi="Times New Roman"/>
          <w:kern w:val="2"/>
          <w:sz w:val="32"/>
          <w:szCs w:val="32"/>
        </w:rPr>
        <w:t>各单位国内公务接待工作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进行</w:t>
      </w:r>
      <w:r>
        <w:rPr>
          <w:rFonts w:ascii="Times New Roman" w:eastAsia="仿宋_GB2312" w:hAnsi="Times New Roman"/>
          <w:kern w:val="2"/>
          <w:sz w:val="32"/>
          <w:szCs w:val="32"/>
        </w:rPr>
        <w:t>监督检查。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财务与国有资产管理处</w:t>
      </w:r>
      <w:r>
        <w:rPr>
          <w:rFonts w:ascii="Times New Roman" w:eastAsia="仿宋_GB2312" w:hAnsi="Times New Roman"/>
          <w:kern w:val="2"/>
          <w:sz w:val="32"/>
          <w:szCs w:val="32"/>
        </w:rPr>
        <w:t>对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学校各单位国内</w:t>
      </w:r>
      <w:r>
        <w:rPr>
          <w:rFonts w:ascii="Times New Roman" w:eastAsia="仿宋_GB2312" w:hAnsi="Times New Roman"/>
          <w:kern w:val="2"/>
          <w:sz w:val="32"/>
          <w:szCs w:val="32"/>
        </w:rPr>
        <w:t>公务接待经费开支和使用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情况进行监督检查</w:t>
      </w:r>
      <w:r>
        <w:rPr>
          <w:rFonts w:ascii="Times New Roman" w:eastAsia="仿宋_GB2312" w:hAnsi="Times New Roman"/>
          <w:kern w:val="2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审计处</w:t>
      </w:r>
      <w:r>
        <w:rPr>
          <w:rFonts w:ascii="Times New Roman" w:eastAsia="仿宋_GB2312" w:hAnsi="Times New Roman"/>
          <w:kern w:val="2"/>
          <w:sz w:val="32"/>
          <w:szCs w:val="32"/>
        </w:rPr>
        <w:t>对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学校各单位国内</w:t>
      </w:r>
      <w:r>
        <w:rPr>
          <w:rFonts w:ascii="Times New Roman" w:eastAsia="仿宋_GB2312" w:hAnsi="Times New Roman"/>
          <w:kern w:val="2"/>
          <w:sz w:val="32"/>
          <w:szCs w:val="32"/>
        </w:rPr>
        <w:t>公务接待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经费</w:t>
      </w:r>
      <w:r>
        <w:rPr>
          <w:rFonts w:ascii="Times New Roman" w:eastAsia="仿宋_GB2312" w:hAnsi="Times New Roman"/>
          <w:kern w:val="2"/>
          <w:sz w:val="32"/>
          <w:szCs w:val="32"/>
        </w:rPr>
        <w:t>进行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审计</w:t>
      </w:r>
      <w:r>
        <w:rPr>
          <w:rFonts w:ascii="Times New Roman" w:eastAsia="仿宋_GB2312" w:hAnsi="Times New Roman"/>
          <w:kern w:val="2"/>
          <w:sz w:val="32"/>
          <w:szCs w:val="32"/>
        </w:rPr>
        <w:t>，并加强对接待制度执行情况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的</w:t>
      </w:r>
      <w:r>
        <w:rPr>
          <w:rFonts w:ascii="Times New Roman" w:eastAsia="仿宋_GB2312" w:hAnsi="Times New Roman"/>
          <w:kern w:val="2"/>
          <w:sz w:val="32"/>
          <w:szCs w:val="32"/>
        </w:rPr>
        <w:t>审计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监督</w:t>
      </w:r>
      <w:r>
        <w:rPr>
          <w:rFonts w:ascii="Times New Roman" w:eastAsia="仿宋_GB2312" w:hAnsi="Times New Roman"/>
          <w:kern w:val="2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【监督检查】</w:t>
      </w:r>
    </w:p>
    <w:p w:rsidR="0078263D" w:rsidRDefault="005F05A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b/>
          <w:bCs/>
          <w:kern w:val="2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>第</w:t>
      </w: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>十九</w:t>
      </w: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>条</w:t>
      </w: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2"/>
          <w:sz w:val="32"/>
          <w:szCs w:val="32"/>
        </w:rPr>
        <w:t>学校按照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信息公开有关规定</w:t>
      </w:r>
      <w:r>
        <w:rPr>
          <w:rFonts w:ascii="Times New Roman" w:eastAsia="仿宋_GB2312" w:hAnsi="Times New Roman"/>
          <w:kern w:val="2"/>
          <w:sz w:val="32"/>
          <w:szCs w:val="32"/>
        </w:rPr>
        <w:t>，按年度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以适当的方式</w:t>
      </w:r>
      <w:r>
        <w:rPr>
          <w:rFonts w:ascii="Times New Roman" w:eastAsia="仿宋_GB2312" w:hAnsi="Times New Roman"/>
          <w:kern w:val="2"/>
          <w:sz w:val="32"/>
          <w:szCs w:val="32"/>
        </w:rPr>
        <w:t>公开公务活动接待制度规定、标准、经费支出、接待场所、接待项目等有关情况，自觉接受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师生员工</w:t>
      </w:r>
      <w:r>
        <w:rPr>
          <w:rFonts w:ascii="Times New Roman" w:eastAsia="仿宋_GB2312" w:hAnsi="Times New Roman"/>
          <w:kern w:val="2"/>
          <w:sz w:val="32"/>
          <w:szCs w:val="32"/>
        </w:rPr>
        <w:t>和社会的监督。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【信息公开】</w:t>
      </w:r>
    </w:p>
    <w:p w:rsidR="0078263D" w:rsidRDefault="005F05A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>第</w:t>
      </w:r>
      <w:r>
        <w:rPr>
          <w:rFonts w:ascii="Times New Roman" w:eastAsia="仿宋_GB2312" w:hAnsi="Times New Roman" w:hint="eastAsia"/>
          <w:b/>
          <w:bCs/>
          <w:kern w:val="2"/>
          <w:sz w:val="32"/>
          <w:szCs w:val="32"/>
        </w:rPr>
        <w:t>二十</w:t>
      </w: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>条</w:t>
      </w:r>
      <w:r>
        <w:rPr>
          <w:rFonts w:ascii="Times New Roman" w:eastAsia="仿宋_GB2312" w:hAnsi="Times New Roman"/>
          <w:b/>
          <w:bCs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2"/>
          <w:sz w:val="32"/>
          <w:szCs w:val="32"/>
        </w:rPr>
        <w:t>学校将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国内</w:t>
      </w:r>
      <w:r>
        <w:rPr>
          <w:rFonts w:ascii="Times New Roman" w:eastAsia="仿宋_GB2312" w:hAnsi="Times New Roman"/>
          <w:kern w:val="2"/>
          <w:sz w:val="32"/>
          <w:szCs w:val="32"/>
        </w:rPr>
        <w:t>公务接待工作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纳入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问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</w:rPr>
        <w:t>责</w:t>
      </w:r>
      <w:r>
        <w:rPr>
          <w:rFonts w:ascii="Times New Roman" w:eastAsia="仿宋_GB2312" w:hAnsi="Times New Roman"/>
          <w:kern w:val="2"/>
          <w:sz w:val="32"/>
          <w:szCs w:val="32"/>
        </w:rPr>
        <w:t>范围。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纪检监察室应</w:t>
      </w:r>
      <w:r>
        <w:rPr>
          <w:rFonts w:ascii="Times New Roman" w:eastAsia="仿宋_GB2312" w:hAnsi="Times New Roman"/>
          <w:kern w:val="2"/>
          <w:sz w:val="32"/>
          <w:szCs w:val="32"/>
        </w:rPr>
        <w:t>加强对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国内</w:t>
      </w:r>
      <w:r>
        <w:rPr>
          <w:rFonts w:ascii="Times New Roman" w:eastAsia="仿宋_GB2312" w:hAnsi="Times New Roman"/>
          <w:kern w:val="2"/>
          <w:sz w:val="32"/>
          <w:szCs w:val="32"/>
        </w:rPr>
        <w:t>公务接待违规违纪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违法</w:t>
      </w:r>
      <w:r>
        <w:rPr>
          <w:rFonts w:ascii="Times New Roman" w:eastAsia="仿宋_GB2312" w:hAnsi="Times New Roman"/>
          <w:kern w:val="2"/>
          <w:sz w:val="32"/>
          <w:szCs w:val="32"/>
        </w:rPr>
        <w:t>行为的查处，严肃追究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相关单位和人员的责任</w:t>
      </w:r>
      <w:r>
        <w:rPr>
          <w:rFonts w:ascii="Times New Roman" w:eastAsia="仿宋_GB2312" w:hAnsi="Times New Roman"/>
          <w:kern w:val="2"/>
          <w:sz w:val="32"/>
          <w:szCs w:val="32"/>
        </w:rPr>
        <w:t>，涉嫌犯罪的移送司法机关依法追究刑事责任。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【问责】</w:t>
      </w:r>
    </w:p>
    <w:p w:rsidR="0078263D" w:rsidRDefault="005F05A9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第二十一条  </w:t>
      </w:r>
      <w:r>
        <w:rPr>
          <w:rFonts w:ascii="仿宋_GB2312" w:eastAsia="仿宋_GB2312" w:hint="eastAsia"/>
          <w:sz w:val="32"/>
          <w:szCs w:val="32"/>
        </w:rPr>
        <w:t>学校有关外事活动的接待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上级和学校相关规定执行。【外事接待】</w:t>
      </w:r>
    </w:p>
    <w:p w:rsidR="0078263D" w:rsidRDefault="005F05A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 xml:space="preserve">第二十二条  </w:t>
      </w:r>
      <w:r>
        <w:rPr>
          <w:rFonts w:ascii="仿宋_GB2312" w:eastAsia="仿宋_GB2312" w:hint="eastAsia"/>
          <w:sz w:val="32"/>
          <w:szCs w:val="32"/>
        </w:rPr>
        <w:t>本办法未涉及的事宜按相关法律、法规、规章和上级有关要求执行。</w:t>
      </w:r>
    </w:p>
    <w:p w:rsidR="0078263D" w:rsidRDefault="005F05A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第二十三条  </w:t>
      </w:r>
      <w:r>
        <w:rPr>
          <w:rFonts w:ascii="仿宋_GB2312" w:eastAsia="仿宋_GB2312" w:hint="eastAsia"/>
          <w:sz w:val="32"/>
          <w:szCs w:val="32"/>
        </w:rPr>
        <w:t>本办法由学校党委办公室、校长办公室负责解释。</w:t>
      </w:r>
    </w:p>
    <w:p w:rsidR="0078263D" w:rsidRDefault="005F05A9">
      <w:pPr>
        <w:spacing w:line="560" w:lineRule="exact"/>
        <w:ind w:firstLineChars="200" w:firstLine="643"/>
        <w:jc w:val="left"/>
        <w:textAlignment w:val="center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第二十四条  </w:t>
      </w:r>
      <w:r>
        <w:rPr>
          <w:rFonts w:ascii="仿宋_GB2312" w:eastAsia="仿宋_GB2312" w:hint="eastAsia"/>
          <w:sz w:val="32"/>
          <w:szCs w:val="32"/>
        </w:rPr>
        <w:t>本办法自发布之日起施行。原《广东财经大学公务接待管理办法》（</w:t>
      </w:r>
      <w:r>
        <w:rPr>
          <w:rFonts w:ascii="仿宋_GB2312" w:eastAsia="仿宋_GB2312" w:hint="eastAsia"/>
          <w:color w:val="333333"/>
          <w:sz w:val="32"/>
          <w:szCs w:val="32"/>
          <w:lang w:bidi="ar"/>
        </w:rPr>
        <w:t>粤财大党〔2015〕28号</w:t>
      </w:r>
      <w:r>
        <w:rPr>
          <w:rFonts w:ascii="仿宋_GB2312" w:eastAsia="仿宋_GB2312" w:hint="eastAsia"/>
          <w:sz w:val="32"/>
          <w:szCs w:val="32"/>
          <w:lang w:bidi="ar"/>
        </w:rPr>
        <w:t>）同时废止。</w:t>
      </w:r>
    </w:p>
    <w:p w:rsidR="0078263D" w:rsidRDefault="007826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8263D" w:rsidRDefault="005F05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附件：1.广东财经大学国内公务接待审批单</w:t>
      </w:r>
    </w:p>
    <w:p w:rsidR="0078263D" w:rsidRDefault="005F05A9" w:rsidP="000111E7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2.广东财经大学国内公务接待清单</w:t>
      </w:r>
    </w:p>
    <w:p w:rsidR="0078263D" w:rsidRDefault="005F05A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附件1</w:t>
      </w:r>
    </w:p>
    <w:p w:rsidR="0078263D" w:rsidRDefault="005F05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广东财经大学国内公务接待审批单</w:t>
      </w:r>
    </w:p>
    <w:p w:rsidR="0078263D" w:rsidRDefault="0078263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8263D" w:rsidRDefault="005F05A9" w:rsidP="000111E7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申请单位：                       填报日期：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040"/>
      </w:tblGrid>
      <w:tr w:rsidR="0078263D">
        <w:trPr>
          <w:trHeight w:hRule="exact" w:val="1134"/>
          <w:jc w:val="center"/>
        </w:trPr>
        <w:tc>
          <w:tcPr>
            <w:tcW w:w="3348" w:type="dxa"/>
            <w:vAlign w:val="center"/>
          </w:tcPr>
          <w:p w:rsidR="0078263D" w:rsidRDefault="005F05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接待对象</w:t>
            </w:r>
          </w:p>
        </w:tc>
        <w:tc>
          <w:tcPr>
            <w:tcW w:w="5040" w:type="dxa"/>
            <w:vAlign w:val="center"/>
          </w:tcPr>
          <w:p w:rsidR="0078263D" w:rsidRDefault="0078263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263D">
        <w:trPr>
          <w:trHeight w:hRule="exact" w:val="1134"/>
          <w:jc w:val="center"/>
        </w:trPr>
        <w:tc>
          <w:tcPr>
            <w:tcW w:w="3348" w:type="dxa"/>
            <w:vAlign w:val="center"/>
          </w:tcPr>
          <w:p w:rsidR="0078263D" w:rsidRDefault="005F05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接待事由或项目</w:t>
            </w:r>
          </w:p>
        </w:tc>
        <w:tc>
          <w:tcPr>
            <w:tcW w:w="5040" w:type="dxa"/>
            <w:vAlign w:val="center"/>
          </w:tcPr>
          <w:p w:rsidR="0078263D" w:rsidRDefault="0078263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263D">
        <w:trPr>
          <w:trHeight w:hRule="exact" w:val="1417"/>
          <w:jc w:val="center"/>
        </w:trPr>
        <w:tc>
          <w:tcPr>
            <w:tcW w:w="3348" w:type="dxa"/>
            <w:vAlign w:val="center"/>
          </w:tcPr>
          <w:p w:rsidR="0078263D" w:rsidRDefault="005F05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用餐时间</w:t>
            </w:r>
          </w:p>
        </w:tc>
        <w:tc>
          <w:tcPr>
            <w:tcW w:w="5040" w:type="dxa"/>
            <w:vAlign w:val="center"/>
          </w:tcPr>
          <w:p w:rsidR="0078263D" w:rsidRDefault="005F05A9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  <w:p w:rsidR="0078263D" w:rsidRDefault="005F05A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□早餐 □中餐 □晚餐</w:t>
            </w:r>
          </w:p>
        </w:tc>
      </w:tr>
      <w:tr w:rsidR="0078263D">
        <w:trPr>
          <w:trHeight w:hRule="exact" w:val="1134"/>
          <w:jc w:val="center"/>
        </w:trPr>
        <w:tc>
          <w:tcPr>
            <w:tcW w:w="3348" w:type="dxa"/>
            <w:vAlign w:val="center"/>
          </w:tcPr>
          <w:p w:rsidR="0078263D" w:rsidRDefault="005F05A9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用餐形式及预算金额</w:t>
            </w:r>
          </w:p>
        </w:tc>
        <w:tc>
          <w:tcPr>
            <w:tcW w:w="5040" w:type="dxa"/>
            <w:vAlign w:val="center"/>
          </w:tcPr>
          <w:p w:rsidR="0078263D" w:rsidRDefault="005F05A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□围餐 □自助餐  金额：</w:t>
            </w:r>
          </w:p>
        </w:tc>
      </w:tr>
      <w:tr w:rsidR="0078263D">
        <w:trPr>
          <w:trHeight w:hRule="exact" w:val="1417"/>
          <w:jc w:val="center"/>
        </w:trPr>
        <w:tc>
          <w:tcPr>
            <w:tcW w:w="3348" w:type="dxa"/>
            <w:vAlign w:val="center"/>
          </w:tcPr>
          <w:p w:rsidR="0078263D" w:rsidRDefault="005F05A9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用餐人数和地点</w:t>
            </w:r>
          </w:p>
        </w:tc>
        <w:tc>
          <w:tcPr>
            <w:tcW w:w="5040" w:type="dxa"/>
            <w:vAlign w:val="center"/>
          </w:tcPr>
          <w:p w:rsidR="0078263D" w:rsidRDefault="005F05A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人数：   </w:t>
            </w:r>
          </w:p>
          <w:p w:rsidR="0078263D" w:rsidRDefault="005F05A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地点：□校内酒店 □食堂 □其他</w:t>
            </w:r>
          </w:p>
        </w:tc>
      </w:tr>
      <w:tr w:rsidR="0078263D">
        <w:trPr>
          <w:trHeight w:hRule="exact" w:val="1134"/>
          <w:jc w:val="center"/>
        </w:trPr>
        <w:tc>
          <w:tcPr>
            <w:tcW w:w="3348" w:type="dxa"/>
            <w:vAlign w:val="center"/>
          </w:tcPr>
          <w:p w:rsidR="0078263D" w:rsidRDefault="005F05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经办人签名</w:t>
            </w:r>
          </w:p>
        </w:tc>
        <w:tc>
          <w:tcPr>
            <w:tcW w:w="5040" w:type="dxa"/>
            <w:vAlign w:val="center"/>
          </w:tcPr>
          <w:p w:rsidR="0078263D" w:rsidRDefault="007826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263D">
        <w:trPr>
          <w:trHeight w:hRule="exact" w:val="1134"/>
          <w:jc w:val="center"/>
        </w:trPr>
        <w:tc>
          <w:tcPr>
            <w:tcW w:w="3348" w:type="dxa"/>
            <w:vAlign w:val="center"/>
          </w:tcPr>
          <w:p w:rsidR="0078263D" w:rsidRDefault="005F05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分管负责人审批</w:t>
            </w:r>
          </w:p>
        </w:tc>
        <w:tc>
          <w:tcPr>
            <w:tcW w:w="5040" w:type="dxa"/>
            <w:vAlign w:val="center"/>
          </w:tcPr>
          <w:p w:rsidR="0078263D" w:rsidRDefault="007826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263D">
        <w:trPr>
          <w:trHeight w:hRule="exact" w:val="1134"/>
          <w:jc w:val="center"/>
        </w:trPr>
        <w:tc>
          <w:tcPr>
            <w:tcW w:w="3348" w:type="dxa"/>
            <w:vAlign w:val="center"/>
          </w:tcPr>
          <w:p w:rsidR="0078263D" w:rsidRDefault="005F05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主要负责人审批</w:t>
            </w:r>
          </w:p>
        </w:tc>
        <w:tc>
          <w:tcPr>
            <w:tcW w:w="5040" w:type="dxa"/>
            <w:vAlign w:val="center"/>
          </w:tcPr>
          <w:p w:rsidR="0078263D" w:rsidRDefault="007826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8263D" w:rsidRDefault="005F05A9">
      <w:pPr>
        <w:spacing w:line="4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备注：请在审批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表相应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空格□中打“√”选项。</w:t>
      </w:r>
    </w:p>
    <w:p w:rsidR="0078263D" w:rsidRDefault="005F05A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78263D" w:rsidRDefault="005F05A9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广东财经大学国内公务接待清单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390"/>
        <w:gridCol w:w="615"/>
        <w:gridCol w:w="1020"/>
        <w:gridCol w:w="270"/>
        <w:gridCol w:w="1065"/>
        <w:gridCol w:w="225"/>
        <w:gridCol w:w="1060"/>
        <w:gridCol w:w="350"/>
        <w:gridCol w:w="945"/>
        <w:gridCol w:w="1815"/>
      </w:tblGrid>
      <w:tr w:rsidR="0078263D">
        <w:trPr>
          <w:trHeight w:val="660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接待对象</w:t>
            </w:r>
          </w:p>
        </w:tc>
        <w:tc>
          <w:tcPr>
            <w:tcW w:w="3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接待时间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263D">
        <w:trPr>
          <w:trHeight w:val="660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来访目的</w:t>
            </w:r>
          </w:p>
          <w:p w:rsidR="0078263D" w:rsidRDefault="005F05A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（公务事由）</w:t>
            </w:r>
          </w:p>
        </w:tc>
        <w:tc>
          <w:tcPr>
            <w:tcW w:w="73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263D">
        <w:trPr>
          <w:trHeight w:val="738"/>
        </w:trPr>
        <w:tc>
          <w:tcPr>
            <w:tcW w:w="19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接待对象名单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3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级 别</w:t>
            </w:r>
          </w:p>
        </w:tc>
      </w:tr>
      <w:tr w:rsidR="0078263D">
        <w:trPr>
          <w:trHeight w:val="660"/>
        </w:trPr>
        <w:tc>
          <w:tcPr>
            <w:tcW w:w="19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263D">
        <w:trPr>
          <w:trHeight w:val="660"/>
        </w:trPr>
        <w:tc>
          <w:tcPr>
            <w:tcW w:w="19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263D">
        <w:trPr>
          <w:trHeight w:val="660"/>
        </w:trPr>
        <w:tc>
          <w:tcPr>
            <w:tcW w:w="19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263D">
        <w:trPr>
          <w:trHeight w:val="496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公务活动项目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人数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场所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费用</w:t>
            </w: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</w:tr>
      <w:tr w:rsidR="0078263D">
        <w:trPr>
          <w:trHeight w:val="496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就  餐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形式：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围餐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自助餐</w:t>
            </w:r>
          </w:p>
          <w:p w:rsidR="0078263D" w:rsidRDefault="005F05A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陪餐人数：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78263D">
        <w:trPr>
          <w:trHeight w:val="736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住  宿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住宿标准：</w:t>
            </w:r>
          </w:p>
        </w:tc>
      </w:tr>
      <w:tr w:rsidR="0078263D">
        <w:trPr>
          <w:trHeight w:val="59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用  车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263D">
        <w:trPr>
          <w:trHeight w:val="575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  他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78263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263D">
        <w:trPr>
          <w:trHeight w:val="678"/>
        </w:trPr>
        <w:tc>
          <w:tcPr>
            <w:tcW w:w="93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费用合计（大写）：                     </w:t>
            </w:r>
            <w:r>
              <w:rPr>
                <w:rFonts w:cs="宋体" w:hint="eastAsia"/>
                <w:sz w:val="28"/>
                <w:szCs w:val="28"/>
              </w:rPr>
              <w:t>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78263D" w:rsidTr="000111E7">
        <w:trPr>
          <w:trHeight w:val="513"/>
        </w:trPr>
        <w:tc>
          <w:tcPr>
            <w:tcW w:w="93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经办人初核：</w:t>
            </w:r>
          </w:p>
        </w:tc>
      </w:tr>
      <w:tr w:rsidR="0078263D" w:rsidTr="000111E7">
        <w:trPr>
          <w:trHeight w:val="513"/>
        </w:trPr>
        <w:tc>
          <w:tcPr>
            <w:tcW w:w="93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分管负责人复核：</w:t>
            </w:r>
          </w:p>
        </w:tc>
      </w:tr>
      <w:tr w:rsidR="0078263D" w:rsidTr="000111E7">
        <w:trPr>
          <w:trHeight w:val="468"/>
        </w:trPr>
        <w:tc>
          <w:tcPr>
            <w:tcW w:w="93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63D" w:rsidRDefault="005F05A9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主要负责人审批：</w:t>
            </w:r>
          </w:p>
        </w:tc>
      </w:tr>
    </w:tbl>
    <w:p w:rsidR="0078263D" w:rsidRDefault="005F05A9" w:rsidP="000111E7">
      <w:pPr>
        <w:spacing w:line="400" w:lineRule="exact"/>
        <w:jc w:val="left"/>
        <w:rPr>
          <w:rFonts w:ascii="方正小标宋简体" w:eastAsia="方正小标宋简体"/>
          <w:bCs/>
          <w:sz w:val="4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备注：住宿标准请按接待对象级别逐一填报每个级别的标准。如：县处级XXX元。</w:t>
      </w:r>
    </w:p>
    <w:sectPr w:rsidR="0078263D">
      <w:footerReference w:type="default" r:id="rId8"/>
      <w:footerReference w:type="first" r:id="rId9"/>
      <w:pgSz w:w="11906" w:h="16838"/>
      <w:pgMar w:top="2098" w:right="1474" w:bottom="1984" w:left="158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2CE" w:rsidRDefault="00DB62CE">
      <w:r>
        <w:separator/>
      </w:r>
    </w:p>
  </w:endnote>
  <w:endnote w:type="continuationSeparator" w:id="0">
    <w:p w:rsidR="00DB62CE" w:rsidRDefault="00DB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D" w:rsidRDefault="005F05A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263D" w:rsidRDefault="005F05A9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hxhyy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78263D" w:rsidRDefault="005F05A9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D" w:rsidRDefault="005F05A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263D" w:rsidRDefault="005F05A9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dz/JhrMBAABJ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:rsidR="0078263D" w:rsidRDefault="005F05A9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2CE" w:rsidRDefault="00DB62CE">
      <w:r>
        <w:separator/>
      </w:r>
    </w:p>
  </w:footnote>
  <w:footnote w:type="continuationSeparator" w:id="0">
    <w:p w:rsidR="00DB62CE" w:rsidRDefault="00DB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52367"/>
    <w:multiLevelType w:val="multilevel"/>
    <w:tmpl w:val="4D452367"/>
    <w:lvl w:ilvl="0">
      <w:start w:val="1"/>
      <w:numFmt w:val="japaneseCounting"/>
      <w:pStyle w:val="Char"/>
      <w:lvlText w:val="第%1、"/>
      <w:lvlJc w:val="left"/>
      <w:pPr>
        <w:tabs>
          <w:tab w:val="left" w:pos="1080"/>
        </w:tabs>
        <w:ind w:left="108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yZDQ0OGRlNzI3NWY0ODFiNmQxZTZhOTFhZDA3MmIifQ=="/>
  </w:docVars>
  <w:rsids>
    <w:rsidRoot w:val="00016813"/>
    <w:rsid w:val="00003732"/>
    <w:rsid w:val="00003818"/>
    <w:rsid w:val="000111E7"/>
    <w:rsid w:val="00011985"/>
    <w:rsid w:val="00016813"/>
    <w:rsid w:val="00023C83"/>
    <w:rsid w:val="000324DB"/>
    <w:rsid w:val="000333CC"/>
    <w:rsid w:val="00041324"/>
    <w:rsid w:val="000469A5"/>
    <w:rsid w:val="00070F26"/>
    <w:rsid w:val="00081E0D"/>
    <w:rsid w:val="00082257"/>
    <w:rsid w:val="00091FF8"/>
    <w:rsid w:val="000A2CFF"/>
    <w:rsid w:val="000A41C5"/>
    <w:rsid w:val="000C6294"/>
    <w:rsid w:val="000D3AF6"/>
    <w:rsid w:val="000F1E53"/>
    <w:rsid w:val="001139AB"/>
    <w:rsid w:val="0012270E"/>
    <w:rsid w:val="001276C8"/>
    <w:rsid w:val="0014326B"/>
    <w:rsid w:val="001511FD"/>
    <w:rsid w:val="001966D8"/>
    <w:rsid w:val="001A2043"/>
    <w:rsid w:val="001C3B21"/>
    <w:rsid w:val="001D67E1"/>
    <w:rsid w:val="00213094"/>
    <w:rsid w:val="002312AC"/>
    <w:rsid w:val="00240C61"/>
    <w:rsid w:val="00241490"/>
    <w:rsid w:val="002431F1"/>
    <w:rsid w:val="00250664"/>
    <w:rsid w:val="00276DA0"/>
    <w:rsid w:val="002B53C1"/>
    <w:rsid w:val="002B54D0"/>
    <w:rsid w:val="002C0858"/>
    <w:rsid w:val="002C507E"/>
    <w:rsid w:val="002C74E4"/>
    <w:rsid w:val="002F6953"/>
    <w:rsid w:val="003320D4"/>
    <w:rsid w:val="00337E29"/>
    <w:rsid w:val="003462DD"/>
    <w:rsid w:val="00374DAF"/>
    <w:rsid w:val="00376262"/>
    <w:rsid w:val="003B157B"/>
    <w:rsid w:val="003B4A60"/>
    <w:rsid w:val="003D7468"/>
    <w:rsid w:val="003E02B9"/>
    <w:rsid w:val="003E0D31"/>
    <w:rsid w:val="003E677B"/>
    <w:rsid w:val="003F0885"/>
    <w:rsid w:val="00403A3E"/>
    <w:rsid w:val="004044D7"/>
    <w:rsid w:val="0040566F"/>
    <w:rsid w:val="004100CA"/>
    <w:rsid w:val="00422216"/>
    <w:rsid w:val="00425508"/>
    <w:rsid w:val="00443541"/>
    <w:rsid w:val="004524F9"/>
    <w:rsid w:val="00461E7F"/>
    <w:rsid w:val="004670E8"/>
    <w:rsid w:val="004B35F2"/>
    <w:rsid w:val="004B3CE8"/>
    <w:rsid w:val="00505555"/>
    <w:rsid w:val="00531F77"/>
    <w:rsid w:val="00540BF0"/>
    <w:rsid w:val="00542617"/>
    <w:rsid w:val="00571621"/>
    <w:rsid w:val="00582890"/>
    <w:rsid w:val="00596C43"/>
    <w:rsid w:val="005A0D4D"/>
    <w:rsid w:val="005B2071"/>
    <w:rsid w:val="005D52C3"/>
    <w:rsid w:val="005E071C"/>
    <w:rsid w:val="005F05A9"/>
    <w:rsid w:val="005F712C"/>
    <w:rsid w:val="00606B43"/>
    <w:rsid w:val="00607791"/>
    <w:rsid w:val="00625168"/>
    <w:rsid w:val="006361E5"/>
    <w:rsid w:val="006433DF"/>
    <w:rsid w:val="00652BEE"/>
    <w:rsid w:val="006563FC"/>
    <w:rsid w:val="00687212"/>
    <w:rsid w:val="00692866"/>
    <w:rsid w:val="006C2A69"/>
    <w:rsid w:val="007034B6"/>
    <w:rsid w:val="007277DA"/>
    <w:rsid w:val="00733348"/>
    <w:rsid w:val="00743A26"/>
    <w:rsid w:val="00756540"/>
    <w:rsid w:val="0078263D"/>
    <w:rsid w:val="00785F07"/>
    <w:rsid w:val="007D3B17"/>
    <w:rsid w:val="007D4D55"/>
    <w:rsid w:val="007E6669"/>
    <w:rsid w:val="007F5689"/>
    <w:rsid w:val="007F65C8"/>
    <w:rsid w:val="00830D0D"/>
    <w:rsid w:val="008336AE"/>
    <w:rsid w:val="00856628"/>
    <w:rsid w:val="008616E2"/>
    <w:rsid w:val="0087358B"/>
    <w:rsid w:val="008847B4"/>
    <w:rsid w:val="008864EB"/>
    <w:rsid w:val="00890AAE"/>
    <w:rsid w:val="008B7D48"/>
    <w:rsid w:val="008C6E6A"/>
    <w:rsid w:val="008E2FEE"/>
    <w:rsid w:val="008E48E7"/>
    <w:rsid w:val="0090560B"/>
    <w:rsid w:val="00912239"/>
    <w:rsid w:val="009349AE"/>
    <w:rsid w:val="009854DE"/>
    <w:rsid w:val="009A1603"/>
    <w:rsid w:val="009A1676"/>
    <w:rsid w:val="009A3B87"/>
    <w:rsid w:val="009B0E34"/>
    <w:rsid w:val="009B1FCB"/>
    <w:rsid w:val="009C561F"/>
    <w:rsid w:val="009F1461"/>
    <w:rsid w:val="00A079C0"/>
    <w:rsid w:val="00A109C4"/>
    <w:rsid w:val="00A1519F"/>
    <w:rsid w:val="00A16A34"/>
    <w:rsid w:val="00A32EAD"/>
    <w:rsid w:val="00A45F44"/>
    <w:rsid w:val="00A53771"/>
    <w:rsid w:val="00A5551C"/>
    <w:rsid w:val="00A6387C"/>
    <w:rsid w:val="00A751DF"/>
    <w:rsid w:val="00A9389E"/>
    <w:rsid w:val="00AA30BC"/>
    <w:rsid w:val="00AB058E"/>
    <w:rsid w:val="00AB1AE3"/>
    <w:rsid w:val="00AB2E67"/>
    <w:rsid w:val="00AC0271"/>
    <w:rsid w:val="00AC29BD"/>
    <w:rsid w:val="00AE705E"/>
    <w:rsid w:val="00B032D6"/>
    <w:rsid w:val="00B06876"/>
    <w:rsid w:val="00B31883"/>
    <w:rsid w:val="00B40B65"/>
    <w:rsid w:val="00B55DD7"/>
    <w:rsid w:val="00B636A8"/>
    <w:rsid w:val="00B64FD5"/>
    <w:rsid w:val="00B80B55"/>
    <w:rsid w:val="00B976D4"/>
    <w:rsid w:val="00BA4ED2"/>
    <w:rsid w:val="00BB5A1A"/>
    <w:rsid w:val="00BE2A53"/>
    <w:rsid w:val="00C0683D"/>
    <w:rsid w:val="00C1179E"/>
    <w:rsid w:val="00C120A0"/>
    <w:rsid w:val="00C30D02"/>
    <w:rsid w:val="00C441B9"/>
    <w:rsid w:val="00C70650"/>
    <w:rsid w:val="00C85967"/>
    <w:rsid w:val="00CA19E5"/>
    <w:rsid w:val="00CA1B00"/>
    <w:rsid w:val="00CB51AC"/>
    <w:rsid w:val="00CC0754"/>
    <w:rsid w:val="00CD5EFC"/>
    <w:rsid w:val="00CE7007"/>
    <w:rsid w:val="00D21282"/>
    <w:rsid w:val="00D26C7E"/>
    <w:rsid w:val="00D33AAC"/>
    <w:rsid w:val="00D42934"/>
    <w:rsid w:val="00D57A1E"/>
    <w:rsid w:val="00D6469E"/>
    <w:rsid w:val="00D6650E"/>
    <w:rsid w:val="00D948B3"/>
    <w:rsid w:val="00DB1F5C"/>
    <w:rsid w:val="00DB3649"/>
    <w:rsid w:val="00DB3896"/>
    <w:rsid w:val="00DB62CE"/>
    <w:rsid w:val="00DC3C49"/>
    <w:rsid w:val="00DC6B53"/>
    <w:rsid w:val="00E3124F"/>
    <w:rsid w:val="00E3773E"/>
    <w:rsid w:val="00E904C3"/>
    <w:rsid w:val="00ED542A"/>
    <w:rsid w:val="00ED5E0B"/>
    <w:rsid w:val="00F31E15"/>
    <w:rsid w:val="00F400A4"/>
    <w:rsid w:val="00F85AAA"/>
    <w:rsid w:val="00FA00CE"/>
    <w:rsid w:val="00FA4CF0"/>
    <w:rsid w:val="00FB3B27"/>
    <w:rsid w:val="00FD269B"/>
    <w:rsid w:val="00FE22FC"/>
    <w:rsid w:val="03F56CA0"/>
    <w:rsid w:val="04A9250C"/>
    <w:rsid w:val="062E0F1B"/>
    <w:rsid w:val="08E41019"/>
    <w:rsid w:val="09B90AFC"/>
    <w:rsid w:val="09EA0DE4"/>
    <w:rsid w:val="0C131C4A"/>
    <w:rsid w:val="0C6618B7"/>
    <w:rsid w:val="0C9F5592"/>
    <w:rsid w:val="0CC17DAE"/>
    <w:rsid w:val="0EC13748"/>
    <w:rsid w:val="0FCC460D"/>
    <w:rsid w:val="109140B1"/>
    <w:rsid w:val="1131103E"/>
    <w:rsid w:val="11634228"/>
    <w:rsid w:val="136E2957"/>
    <w:rsid w:val="13A7421F"/>
    <w:rsid w:val="14957D2B"/>
    <w:rsid w:val="163C7034"/>
    <w:rsid w:val="16CB4564"/>
    <w:rsid w:val="19BC550E"/>
    <w:rsid w:val="1A576625"/>
    <w:rsid w:val="1A8A6252"/>
    <w:rsid w:val="1AFC1190"/>
    <w:rsid w:val="1BA8288F"/>
    <w:rsid w:val="1D7239CA"/>
    <w:rsid w:val="1E83265C"/>
    <w:rsid w:val="1EBA08C3"/>
    <w:rsid w:val="1F1D27DE"/>
    <w:rsid w:val="2059673D"/>
    <w:rsid w:val="22714212"/>
    <w:rsid w:val="23E62116"/>
    <w:rsid w:val="255B78FE"/>
    <w:rsid w:val="2657371E"/>
    <w:rsid w:val="271061E3"/>
    <w:rsid w:val="273E6C9B"/>
    <w:rsid w:val="2749750B"/>
    <w:rsid w:val="28213FE4"/>
    <w:rsid w:val="29D1399B"/>
    <w:rsid w:val="2A4346E5"/>
    <w:rsid w:val="2D8F2C2C"/>
    <w:rsid w:val="2E247E79"/>
    <w:rsid w:val="31E13CEA"/>
    <w:rsid w:val="35CB1A33"/>
    <w:rsid w:val="369A4EC5"/>
    <w:rsid w:val="37805382"/>
    <w:rsid w:val="37F0752F"/>
    <w:rsid w:val="388F007B"/>
    <w:rsid w:val="38A02D03"/>
    <w:rsid w:val="39074B30"/>
    <w:rsid w:val="3A8A3C6B"/>
    <w:rsid w:val="3A8D375B"/>
    <w:rsid w:val="3CB815E1"/>
    <w:rsid w:val="3E417123"/>
    <w:rsid w:val="3EB518C6"/>
    <w:rsid w:val="40580367"/>
    <w:rsid w:val="44182733"/>
    <w:rsid w:val="44EF5A9E"/>
    <w:rsid w:val="471364BA"/>
    <w:rsid w:val="49071B6E"/>
    <w:rsid w:val="49152EBB"/>
    <w:rsid w:val="49EA60AE"/>
    <w:rsid w:val="4ACD4B9E"/>
    <w:rsid w:val="4CE0771A"/>
    <w:rsid w:val="4F45117A"/>
    <w:rsid w:val="50E2712F"/>
    <w:rsid w:val="52614E59"/>
    <w:rsid w:val="53964FD7"/>
    <w:rsid w:val="53A33E16"/>
    <w:rsid w:val="582B14A9"/>
    <w:rsid w:val="5EF11993"/>
    <w:rsid w:val="61316458"/>
    <w:rsid w:val="614F2C6F"/>
    <w:rsid w:val="63D35853"/>
    <w:rsid w:val="64482B1B"/>
    <w:rsid w:val="644C5A39"/>
    <w:rsid w:val="67531FA2"/>
    <w:rsid w:val="67896DA2"/>
    <w:rsid w:val="6844213C"/>
    <w:rsid w:val="68AB4C28"/>
    <w:rsid w:val="68C01904"/>
    <w:rsid w:val="69DD0D36"/>
    <w:rsid w:val="6A656678"/>
    <w:rsid w:val="6A6D2E29"/>
    <w:rsid w:val="6AA560DB"/>
    <w:rsid w:val="6BA50055"/>
    <w:rsid w:val="6C215B5D"/>
    <w:rsid w:val="6D0F6DD7"/>
    <w:rsid w:val="6D7A05F4"/>
    <w:rsid w:val="6E8045B1"/>
    <w:rsid w:val="7082481A"/>
    <w:rsid w:val="75ED4AD2"/>
    <w:rsid w:val="766A6865"/>
    <w:rsid w:val="774E15A1"/>
    <w:rsid w:val="7D8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FE01D"/>
  <w15:docId w15:val="{930BCA7B-34E2-4378-B997-10DB649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semiHidden/>
    <w:qFormat/>
    <w:rPr>
      <w:rFonts w:ascii="仿宋" w:eastAsia="仿宋" w:hAnsi="仿宋" w:cs="仿宋"/>
      <w:sz w:val="32"/>
      <w:szCs w:val="32"/>
      <w:lang w:eastAsia="en-US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qFormat/>
    <w:rPr>
      <w:color w:val="2196F3"/>
      <w:u w:val="non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rPr>
      <w:rFonts w:ascii="宋体" w:hAnsi="宋体"/>
      <w:kern w:val="22"/>
      <w:sz w:val="21"/>
      <w:szCs w:val="21"/>
    </w:rPr>
  </w:style>
  <w:style w:type="character" w:customStyle="1" w:styleId="a7">
    <w:name w:val="批注框文本 字符"/>
    <w:basedOn w:val="a0"/>
    <w:link w:val="a6"/>
    <w:qFormat/>
    <w:rPr>
      <w:rFonts w:ascii="宋体" w:hAnsi="宋体"/>
      <w:kern w:val="22"/>
      <w:sz w:val="18"/>
      <w:szCs w:val="18"/>
    </w:rPr>
  </w:style>
  <w:style w:type="character" w:customStyle="1" w:styleId="ac">
    <w:name w:val="批注主题 字符"/>
    <w:basedOn w:val="a4"/>
    <w:link w:val="ab"/>
    <w:qFormat/>
    <w:rPr>
      <w:rFonts w:ascii="宋体" w:hAnsi="宋体"/>
      <w:b/>
      <w:bCs/>
      <w:kern w:val="22"/>
      <w:sz w:val="21"/>
      <w:szCs w:val="21"/>
    </w:rPr>
  </w:style>
  <w:style w:type="paragraph" w:customStyle="1" w:styleId="Char">
    <w:name w:val="Char"/>
    <w:basedOn w:val="a"/>
    <w:qFormat/>
    <w:pPr>
      <w:numPr>
        <w:numId w:val="1"/>
      </w:numPr>
    </w:pPr>
    <w:rPr>
      <w:rFonts w:ascii="Times New Roman" w:hAnsi="Times New Roman"/>
      <w:kern w:val="2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customStyle="1" w:styleId="button">
    <w:name w:val="button"/>
    <w:basedOn w:val="a0"/>
    <w:qFormat/>
  </w:style>
  <w:style w:type="character" w:customStyle="1" w:styleId="icon-accesstime">
    <w:name w:val="icon-accesstime"/>
    <w:basedOn w:val="a0"/>
    <w:qFormat/>
  </w:style>
  <w:style w:type="character" w:customStyle="1" w:styleId="bhtc-old">
    <w:name w:val="bhtc-old"/>
    <w:basedOn w:val="a0"/>
    <w:qFormat/>
    <w:rPr>
      <w:color w:val="BBBBBB"/>
    </w:rPr>
  </w:style>
  <w:style w:type="character" w:customStyle="1" w:styleId="year">
    <w:name w:val="year"/>
    <w:basedOn w:val="a0"/>
    <w:qFormat/>
  </w:style>
  <w:style w:type="character" w:customStyle="1" w:styleId="bh-calculator-operation">
    <w:name w:val="bh-calculator-operation"/>
    <w:basedOn w:val="a0"/>
    <w:qFormat/>
  </w:style>
  <w:style w:type="character" w:customStyle="1" w:styleId="hover14">
    <w:name w:val="hover14"/>
    <w:basedOn w:val="a0"/>
    <w:qFormat/>
    <w:rPr>
      <w:shd w:val="clear" w:color="auto" w:fill="0D86EA"/>
    </w:rPr>
  </w:style>
  <w:style w:type="character" w:customStyle="1" w:styleId="hover15">
    <w:name w:val="hover15"/>
    <w:basedOn w:val="a0"/>
    <w:qFormat/>
    <w:rPr>
      <w:shd w:val="clear" w:color="auto" w:fill="EEF7FE"/>
    </w:rPr>
  </w:style>
  <w:style w:type="character" w:customStyle="1" w:styleId="active2">
    <w:name w:val="active2"/>
    <w:basedOn w:val="a0"/>
    <w:qFormat/>
    <w:rPr>
      <w:shd w:val="clear" w:color="auto" w:fill="EC3535"/>
    </w:rPr>
  </w:style>
  <w:style w:type="character" w:customStyle="1" w:styleId="tmpztreemovearrow">
    <w:name w:val="tmpztreemove_arrow"/>
    <w:basedOn w:val="a0"/>
    <w:qFormat/>
  </w:style>
  <w:style w:type="character" w:customStyle="1" w:styleId="bh-calculator-item">
    <w:name w:val="bh-calculator-item"/>
    <w:basedOn w:val="a0"/>
    <w:qFormat/>
  </w:style>
  <w:style w:type="character" w:customStyle="1" w:styleId="bhtc-active">
    <w:name w:val="bhtc-active"/>
    <w:basedOn w:val="a0"/>
    <w:qFormat/>
    <w:rPr>
      <w:color w:val="FFFFFF"/>
      <w:shd w:val="clear" w:color="auto" w:fill="2196F3"/>
    </w:rPr>
  </w:style>
  <w:style w:type="character" w:customStyle="1" w:styleId="month">
    <w:name w:val="month"/>
    <w:basedOn w:val="a0"/>
    <w:qFormat/>
  </w:style>
  <w:style w:type="character" w:customStyle="1" w:styleId="icon-daterange">
    <w:name w:val="icon-dateran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538</Words>
  <Characters>3073</Characters>
  <Application>Microsoft Office Word</Application>
  <DocSecurity>0</DocSecurity>
  <Lines>25</Lines>
  <Paragraphs>7</Paragraphs>
  <ScaleCrop>false</ScaleCrop>
  <Company>微软中国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广东财经大学公务接待管理办法</dc:title>
  <dc:creator>微软用户</dc:creator>
  <cp:lastModifiedBy>刘鸿华(20171038)</cp:lastModifiedBy>
  <cp:revision>4</cp:revision>
  <cp:lastPrinted>2024-11-06T09:19:00Z</cp:lastPrinted>
  <dcterms:created xsi:type="dcterms:W3CDTF">2024-11-20T03:47:00Z</dcterms:created>
  <dcterms:modified xsi:type="dcterms:W3CDTF">2024-11-20T03:49:00Z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FE48FB5E84E542B3A53C5FA7E03C7CFD_13</vt:lpwstr>
  </property>
</Properties>
</file>